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F2B49" w14:textId="4F694AAF" w:rsidR="004929E2" w:rsidRDefault="00F14E58" w:rsidP="00E426A0">
      <w:pPr>
        <w:jc w:val="center"/>
        <w:rPr>
          <w:b/>
          <w:bCs/>
          <w:sz w:val="24"/>
          <w:szCs w:val="24"/>
          <w:lang w:val="en-US"/>
        </w:rPr>
      </w:pPr>
      <w:r w:rsidRPr="00E426A0">
        <w:rPr>
          <w:b/>
          <w:bCs/>
          <w:sz w:val="24"/>
          <w:szCs w:val="24"/>
          <w:lang w:val="en-US"/>
        </w:rPr>
        <w:t>Reviewer</w:t>
      </w:r>
      <w:r w:rsidR="008B2F24">
        <w:rPr>
          <w:b/>
          <w:bCs/>
          <w:sz w:val="24"/>
          <w:szCs w:val="24"/>
          <w:lang w:val="en-US"/>
        </w:rPr>
        <w:t>’</w:t>
      </w:r>
      <w:r w:rsidRPr="00E426A0">
        <w:rPr>
          <w:b/>
          <w:bCs/>
          <w:sz w:val="24"/>
          <w:szCs w:val="24"/>
          <w:lang w:val="en-US"/>
        </w:rPr>
        <w:t>s comments</w:t>
      </w:r>
    </w:p>
    <w:p w14:paraId="10A172DB" w14:textId="02EA1EFF" w:rsidR="008B2F24" w:rsidRPr="008B2F24" w:rsidRDefault="008B2F24" w:rsidP="008B2F24">
      <w:pPr>
        <w:tabs>
          <w:tab w:val="left" w:pos="2235"/>
        </w:tabs>
      </w:pPr>
      <w:r>
        <w:rPr>
          <w:b/>
          <w:bCs/>
          <w:sz w:val="24"/>
          <w:szCs w:val="24"/>
          <w:lang w:val="en-US"/>
        </w:rPr>
        <w:t xml:space="preserve">Reviewer’s 2: </w:t>
      </w:r>
      <w:r w:rsidRPr="008B2F24">
        <w:t>Thank you for the comments; they were addressed as follows.</w:t>
      </w:r>
    </w:p>
    <w:tbl>
      <w:tblPr>
        <w:tblStyle w:val="TableGrid"/>
        <w:tblW w:w="0" w:type="auto"/>
        <w:tblLook w:val="04A0" w:firstRow="1" w:lastRow="0" w:firstColumn="1" w:lastColumn="0" w:noHBand="0" w:noVBand="1"/>
      </w:tblPr>
      <w:tblGrid>
        <w:gridCol w:w="4508"/>
        <w:gridCol w:w="4508"/>
      </w:tblGrid>
      <w:tr w:rsidR="00E426A0" w14:paraId="1B951FA5" w14:textId="77777777" w:rsidTr="00F14E58">
        <w:tc>
          <w:tcPr>
            <w:tcW w:w="4508" w:type="dxa"/>
          </w:tcPr>
          <w:p w14:paraId="7F3AA28E" w14:textId="4FFC510E" w:rsidR="00E426A0" w:rsidRPr="00E426A0" w:rsidRDefault="00E426A0" w:rsidP="00E426A0">
            <w:pPr>
              <w:pStyle w:val="ListParagraph"/>
              <w:jc w:val="center"/>
              <w:rPr>
                <w:b/>
                <w:bCs/>
                <w:lang w:val="en-US"/>
              </w:rPr>
            </w:pPr>
            <w:r w:rsidRPr="00E426A0">
              <w:rPr>
                <w:b/>
                <w:bCs/>
                <w:lang w:val="en-US"/>
              </w:rPr>
              <w:t>Comment</w:t>
            </w:r>
          </w:p>
        </w:tc>
        <w:tc>
          <w:tcPr>
            <w:tcW w:w="4508" w:type="dxa"/>
          </w:tcPr>
          <w:p w14:paraId="077B2DB5" w14:textId="2C02924E" w:rsidR="00E426A0" w:rsidRPr="00E426A0" w:rsidRDefault="00E426A0" w:rsidP="00E426A0">
            <w:pPr>
              <w:jc w:val="center"/>
              <w:rPr>
                <w:b/>
                <w:bCs/>
                <w:lang w:val="en-US"/>
              </w:rPr>
            </w:pPr>
            <w:r>
              <w:rPr>
                <w:b/>
                <w:bCs/>
                <w:lang w:val="en-US"/>
              </w:rPr>
              <w:t>C</w:t>
            </w:r>
            <w:r w:rsidRPr="00E426A0">
              <w:rPr>
                <w:b/>
                <w:bCs/>
                <w:lang w:val="en-US"/>
              </w:rPr>
              <w:t>orrection</w:t>
            </w:r>
          </w:p>
        </w:tc>
      </w:tr>
      <w:tr w:rsidR="00F14E58" w14:paraId="4B62D955" w14:textId="77777777" w:rsidTr="00F14E58">
        <w:tc>
          <w:tcPr>
            <w:tcW w:w="4508" w:type="dxa"/>
          </w:tcPr>
          <w:p w14:paraId="1491998D" w14:textId="26D036E2" w:rsidR="00F14E58" w:rsidRPr="00F14E58" w:rsidRDefault="00F14E58" w:rsidP="00F14E58">
            <w:pPr>
              <w:pStyle w:val="ListParagraph"/>
              <w:numPr>
                <w:ilvl w:val="0"/>
                <w:numId w:val="1"/>
              </w:numPr>
              <w:rPr>
                <w:lang w:val="en-US"/>
              </w:rPr>
            </w:pPr>
            <w:proofErr w:type="gramStart"/>
            <w:r w:rsidRPr="00F14E58">
              <w:rPr>
                <w:lang w:val="en-US"/>
              </w:rPr>
              <w:t>The sol-gel, combustion, and</w:t>
            </w:r>
            <w:proofErr w:type="gramEnd"/>
            <w:r w:rsidRPr="00F14E58">
              <w:rPr>
                <w:lang w:val="en-US"/>
              </w:rPr>
              <w:t xml:space="preserve"> solid-state reaction methods are of interest to prepare Zn</w:t>
            </w:r>
            <w:r w:rsidRPr="00E426A0">
              <w:rPr>
                <w:vertAlign w:val="subscript"/>
                <w:lang w:val="en-US"/>
              </w:rPr>
              <w:t>4</w:t>
            </w:r>
            <w:r w:rsidRPr="00F14E58">
              <w:rPr>
                <w:lang w:val="en-US"/>
              </w:rPr>
              <w:t>B</w:t>
            </w:r>
            <w:r w:rsidRPr="00E426A0">
              <w:rPr>
                <w:vertAlign w:val="subscript"/>
                <w:lang w:val="en-US"/>
              </w:rPr>
              <w:t>6</w:t>
            </w:r>
            <w:r w:rsidRPr="00F14E58">
              <w:rPr>
                <w:lang w:val="en-US"/>
              </w:rPr>
              <w:t>O</w:t>
            </w:r>
            <w:r w:rsidRPr="00E426A0">
              <w:rPr>
                <w:vertAlign w:val="subscript"/>
                <w:lang w:val="en-US"/>
              </w:rPr>
              <w:t>13</w:t>
            </w:r>
            <w:r w:rsidRPr="00F14E58">
              <w:rPr>
                <w:lang w:val="en-US"/>
              </w:rPr>
              <w:t xml:space="preserve"> and Zn</w:t>
            </w:r>
            <w:r w:rsidRPr="00E426A0">
              <w:rPr>
                <w:vertAlign w:val="subscript"/>
                <w:lang w:val="en-US"/>
              </w:rPr>
              <w:t>4</w:t>
            </w:r>
            <w:r w:rsidRPr="00F14E58">
              <w:rPr>
                <w:lang w:val="en-US"/>
              </w:rPr>
              <w:t>B</w:t>
            </w:r>
            <w:r w:rsidRPr="00E426A0">
              <w:rPr>
                <w:vertAlign w:val="subscript"/>
                <w:lang w:val="en-US"/>
              </w:rPr>
              <w:t>6</w:t>
            </w:r>
            <w:r w:rsidRPr="00F14E58">
              <w:rPr>
                <w:lang w:val="en-US"/>
              </w:rPr>
              <w:t>O</w:t>
            </w:r>
            <w:r w:rsidRPr="00E426A0">
              <w:rPr>
                <w:vertAlign w:val="subscript"/>
                <w:lang w:val="en-US"/>
              </w:rPr>
              <w:t>13</w:t>
            </w:r>
            <w:r w:rsidRPr="00F14E58">
              <w:rPr>
                <w:lang w:val="en-US"/>
              </w:rPr>
              <w:t>:Eu</w:t>
            </w:r>
            <w:r w:rsidRPr="00E426A0">
              <w:rPr>
                <w:vertAlign w:val="superscript"/>
                <w:lang w:val="en-US"/>
              </w:rPr>
              <w:t>3+</w:t>
            </w:r>
            <w:r w:rsidRPr="00F14E58">
              <w:rPr>
                <w:lang w:val="en-US"/>
              </w:rPr>
              <w:t xml:space="preserve"> nanophosphor materials. </w:t>
            </w:r>
          </w:p>
        </w:tc>
        <w:tc>
          <w:tcPr>
            <w:tcW w:w="4508" w:type="dxa"/>
          </w:tcPr>
          <w:p w14:paraId="30BC85B9" w14:textId="3E69CEA6" w:rsidR="00F14E58" w:rsidRDefault="00B71F0C">
            <w:pPr>
              <w:rPr>
                <w:b/>
                <w:bCs/>
                <w:lang w:val="en-US"/>
              </w:rPr>
            </w:pPr>
            <w:r>
              <w:rPr>
                <w:lang w:val="en-US"/>
              </w:rPr>
              <w:t>Synthesis methods such as sol-gel, combustion, and solid-state offer a unique possibility of generating high purity nanophosphor materials with different morphologies.</w:t>
            </w:r>
          </w:p>
        </w:tc>
      </w:tr>
      <w:tr w:rsidR="00F14E58" w14:paraId="3F8842D7" w14:textId="77777777" w:rsidTr="00F14E58">
        <w:tc>
          <w:tcPr>
            <w:tcW w:w="4508" w:type="dxa"/>
          </w:tcPr>
          <w:p w14:paraId="2A386487" w14:textId="716529D1" w:rsidR="00F14E58" w:rsidRPr="00B71F0C" w:rsidRDefault="00B71F0C" w:rsidP="00F14E58">
            <w:pPr>
              <w:pStyle w:val="ListParagraph"/>
              <w:numPr>
                <w:ilvl w:val="0"/>
                <w:numId w:val="1"/>
              </w:numPr>
              <w:rPr>
                <w:lang w:val="en-US"/>
              </w:rPr>
            </w:pPr>
            <w:r w:rsidRPr="00B71F0C">
              <w:rPr>
                <w:lang w:val="en-US"/>
              </w:rPr>
              <w:t>For preparation, zinc nitrate (Zn (NO</w:t>
            </w:r>
            <w:r w:rsidRPr="00E426A0">
              <w:rPr>
                <w:vertAlign w:val="subscript"/>
                <w:lang w:val="en-US"/>
              </w:rPr>
              <w:t>3</w:t>
            </w:r>
            <w:r w:rsidRPr="00B71F0C">
              <w:rPr>
                <w:lang w:val="en-US"/>
              </w:rPr>
              <w:t>)</w:t>
            </w:r>
            <w:r w:rsidRPr="00E426A0">
              <w:rPr>
                <w:vertAlign w:val="subscript"/>
                <w:lang w:val="en-US"/>
              </w:rPr>
              <w:t>2</w:t>
            </w:r>
            <w:r w:rsidRPr="00B71F0C">
              <w:rPr>
                <w:lang w:val="en-US"/>
              </w:rPr>
              <w:t>(6H</w:t>
            </w:r>
            <w:r w:rsidRPr="00E426A0">
              <w:rPr>
                <w:vertAlign w:val="subscript"/>
                <w:lang w:val="en-US"/>
              </w:rPr>
              <w:t>2</w:t>
            </w:r>
            <w:r w:rsidRPr="00B71F0C">
              <w:rPr>
                <w:lang w:val="en-US"/>
              </w:rPr>
              <w:t>O) (99%) was used as an oxidizer, citric acid (C₆H₈O₇) (99.95%) and boric acid (H</w:t>
            </w:r>
            <w:r w:rsidRPr="00B71F0C">
              <w:rPr>
                <w:vertAlign w:val="subscript"/>
                <w:lang w:val="en-US"/>
              </w:rPr>
              <w:t>3</w:t>
            </w:r>
            <w:r w:rsidRPr="00B71F0C">
              <w:rPr>
                <w:lang w:val="en-US"/>
              </w:rPr>
              <w:t>BO</w:t>
            </w:r>
            <w:r w:rsidRPr="00B71F0C">
              <w:rPr>
                <w:vertAlign w:val="subscript"/>
                <w:lang w:val="en-US"/>
              </w:rPr>
              <w:t>3</w:t>
            </w:r>
            <w:r w:rsidRPr="00B71F0C">
              <w:rPr>
                <w:lang w:val="en-US"/>
              </w:rPr>
              <w:t xml:space="preserve">) (99.5%) are added as fuels, </w:t>
            </w:r>
            <w:r w:rsidRPr="00B71F0C">
              <w:rPr>
                <w:highlight w:val="yellow"/>
                <w:lang w:val="en-US"/>
              </w:rPr>
              <w:t>respectively</w:t>
            </w:r>
            <w:r w:rsidRPr="00B71F0C">
              <w:rPr>
                <w:lang w:val="en-US"/>
              </w:rPr>
              <w:t xml:space="preserve">. </w:t>
            </w:r>
          </w:p>
        </w:tc>
        <w:tc>
          <w:tcPr>
            <w:tcW w:w="4508" w:type="dxa"/>
          </w:tcPr>
          <w:p w14:paraId="50754FEE" w14:textId="4C049D6F" w:rsidR="00F14E58" w:rsidRPr="00B71F0C" w:rsidRDefault="00B71F0C">
            <w:pPr>
              <w:rPr>
                <w:lang w:val="en-US"/>
              </w:rPr>
            </w:pPr>
            <w:r w:rsidRPr="00B71F0C">
              <w:rPr>
                <w:lang w:val="en-US"/>
              </w:rPr>
              <w:t>For preparation, zinc nitrate (Zn (NO</w:t>
            </w:r>
            <w:r w:rsidRPr="00E426A0">
              <w:rPr>
                <w:vertAlign w:val="subscript"/>
                <w:lang w:val="en-US"/>
              </w:rPr>
              <w:t>3</w:t>
            </w:r>
            <w:r w:rsidRPr="00B71F0C">
              <w:rPr>
                <w:lang w:val="en-US"/>
              </w:rPr>
              <w:t>)</w:t>
            </w:r>
            <w:r w:rsidRPr="00E426A0">
              <w:rPr>
                <w:vertAlign w:val="subscript"/>
                <w:lang w:val="en-US"/>
              </w:rPr>
              <w:t>2</w:t>
            </w:r>
            <w:r w:rsidRPr="00B71F0C">
              <w:rPr>
                <w:lang w:val="en-US"/>
              </w:rPr>
              <w:t>(6H</w:t>
            </w:r>
            <w:r w:rsidRPr="00E426A0">
              <w:rPr>
                <w:vertAlign w:val="subscript"/>
                <w:lang w:val="en-US"/>
              </w:rPr>
              <w:t>2</w:t>
            </w:r>
            <w:r w:rsidRPr="00B71F0C">
              <w:rPr>
                <w:lang w:val="en-US"/>
              </w:rPr>
              <w:t>O) (99%) was used as an oxidizer, citric acid (C₆H₈O₇) (99.95%) and boric acid (H</w:t>
            </w:r>
            <w:r w:rsidRPr="00E426A0">
              <w:rPr>
                <w:vertAlign w:val="subscript"/>
                <w:lang w:val="en-US"/>
              </w:rPr>
              <w:t>3</w:t>
            </w:r>
            <w:r w:rsidRPr="00B71F0C">
              <w:rPr>
                <w:lang w:val="en-US"/>
              </w:rPr>
              <w:t>BO</w:t>
            </w:r>
            <w:r w:rsidRPr="00E426A0">
              <w:rPr>
                <w:vertAlign w:val="subscript"/>
                <w:lang w:val="en-US"/>
              </w:rPr>
              <w:t>3</w:t>
            </w:r>
            <w:r w:rsidRPr="00B71F0C">
              <w:rPr>
                <w:lang w:val="en-US"/>
              </w:rPr>
              <w:t>) (99.5%) are added as fuels.</w:t>
            </w:r>
            <w:r>
              <w:rPr>
                <w:lang w:val="en-US"/>
              </w:rPr>
              <w:t xml:space="preserve"> “</w:t>
            </w:r>
            <w:proofErr w:type="gramStart"/>
            <w:r>
              <w:rPr>
                <w:lang w:val="en-US"/>
              </w:rPr>
              <w:t>respectively</w:t>
            </w:r>
            <w:proofErr w:type="gramEnd"/>
            <w:r>
              <w:rPr>
                <w:lang w:val="en-US"/>
              </w:rPr>
              <w:t xml:space="preserve"> was removed”</w:t>
            </w:r>
            <w:r w:rsidRPr="00B71F0C">
              <w:rPr>
                <w:lang w:val="en-US"/>
              </w:rPr>
              <w:t xml:space="preserve"> </w:t>
            </w:r>
          </w:p>
        </w:tc>
      </w:tr>
      <w:tr w:rsidR="00F14E58" w14:paraId="2B69B755" w14:textId="77777777" w:rsidTr="00F14E58">
        <w:tc>
          <w:tcPr>
            <w:tcW w:w="4508" w:type="dxa"/>
          </w:tcPr>
          <w:p w14:paraId="697902BA" w14:textId="3F4FD210" w:rsidR="00F14E58" w:rsidRPr="00B71F0C" w:rsidRDefault="00B71F0C" w:rsidP="00F14E58">
            <w:pPr>
              <w:pStyle w:val="ListParagraph"/>
              <w:numPr>
                <w:ilvl w:val="0"/>
                <w:numId w:val="1"/>
              </w:numPr>
              <w:rPr>
                <w:lang w:val="en-US"/>
              </w:rPr>
            </w:pPr>
            <w:proofErr w:type="gramStart"/>
            <w:r w:rsidRPr="00B71F0C">
              <w:rPr>
                <w:lang w:val="en-US"/>
              </w:rPr>
              <w:t>a gel- like</w:t>
            </w:r>
            <w:proofErr w:type="gramEnd"/>
            <w:r w:rsidRPr="00B71F0C">
              <w:rPr>
                <w:lang w:val="en-US"/>
              </w:rPr>
              <w:t xml:space="preserve"> solution was formed and was allowed to strengthen and heated at 200 </w:t>
            </w:r>
            <w:proofErr w:type="spellStart"/>
            <w:r w:rsidRPr="00B71F0C">
              <w:rPr>
                <w:vertAlign w:val="superscript"/>
                <w:lang w:val="en-US"/>
              </w:rPr>
              <w:t>o</w:t>
            </w:r>
            <w:r w:rsidRPr="00B71F0C">
              <w:rPr>
                <w:lang w:val="en-US"/>
              </w:rPr>
              <w:t>C.</w:t>
            </w:r>
            <w:proofErr w:type="spellEnd"/>
            <w:r w:rsidR="00ED7361">
              <w:rPr>
                <w:lang w:val="en-US"/>
              </w:rPr>
              <w:t xml:space="preserve"> How?</w:t>
            </w:r>
          </w:p>
        </w:tc>
        <w:tc>
          <w:tcPr>
            <w:tcW w:w="4508" w:type="dxa"/>
          </w:tcPr>
          <w:p w14:paraId="626A847E" w14:textId="743A7531" w:rsidR="00F14E58" w:rsidRPr="00B71F0C" w:rsidRDefault="00B71F0C" w:rsidP="00B71F0C">
            <w:pPr>
              <w:rPr>
                <w:lang w:val="en-US"/>
              </w:rPr>
            </w:pPr>
            <w:r w:rsidRPr="00B71F0C">
              <w:rPr>
                <w:lang w:val="en-US"/>
              </w:rPr>
              <w:t>Consequently, a gel-like solution was formed and was allowed to strengthen by letting it age</w:t>
            </w:r>
            <w:r>
              <w:rPr>
                <w:lang w:val="en-US"/>
              </w:rPr>
              <w:t xml:space="preserve"> </w:t>
            </w:r>
            <w:r w:rsidRPr="00B71F0C">
              <w:rPr>
                <w:lang w:val="en-US"/>
              </w:rPr>
              <w:t xml:space="preserve">overnight and heated at 200 </w:t>
            </w:r>
            <w:proofErr w:type="spellStart"/>
            <w:r w:rsidRPr="00B71F0C">
              <w:rPr>
                <w:vertAlign w:val="superscript"/>
                <w:lang w:val="en-US"/>
              </w:rPr>
              <w:t>o</w:t>
            </w:r>
            <w:r w:rsidRPr="00B71F0C">
              <w:rPr>
                <w:lang w:val="en-US"/>
              </w:rPr>
              <w:t>C.</w:t>
            </w:r>
            <w:proofErr w:type="spellEnd"/>
          </w:p>
        </w:tc>
      </w:tr>
      <w:tr w:rsidR="00F14E58" w14:paraId="2E8B968E" w14:textId="77777777" w:rsidTr="00F14E58">
        <w:tc>
          <w:tcPr>
            <w:tcW w:w="4508" w:type="dxa"/>
          </w:tcPr>
          <w:p w14:paraId="11AAFE64" w14:textId="19346693" w:rsidR="00F14E58" w:rsidRPr="00ED7361" w:rsidRDefault="00ED7361" w:rsidP="00F14E58">
            <w:pPr>
              <w:pStyle w:val="ListParagraph"/>
              <w:numPr>
                <w:ilvl w:val="0"/>
                <w:numId w:val="1"/>
              </w:numPr>
              <w:rPr>
                <w:lang w:val="en-US"/>
              </w:rPr>
            </w:pPr>
            <w:r w:rsidRPr="00ED7361">
              <w:rPr>
                <w:lang w:val="en-US"/>
              </w:rPr>
              <w:t xml:space="preserve">Subsequently, lead to </w:t>
            </w:r>
            <w:proofErr w:type="gramStart"/>
            <w:r w:rsidRPr="00ED7361">
              <w:rPr>
                <w:lang w:val="en-US"/>
              </w:rPr>
              <w:t>a precipitate</w:t>
            </w:r>
            <w:proofErr w:type="gramEnd"/>
            <w:r w:rsidRPr="00ED7361">
              <w:rPr>
                <w:lang w:val="en-US"/>
              </w:rPr>
              <w:t xml:space="preserve"> formation and it was then placed in a furnace. </w:t>
            </w:r>
          </w:p>
        </w:tc>
        <w:tc>
          <w:tcPr>
            <w:tcW w:w="4508" w:type="dxa"/>
          </w:tcPr>
          <w:p w14:paraId="67EDF2E1" w14:textId="60793D5B" w:rsidR="00F14E58" w:rsidRPr="00ED7361" w:rsidRDefault="00ED7361">
            <w:pPr>
              <w:rPr>
                <w:lang w:val="en-US"/>
              </w:rPr>
            </w:pPr>
            <w:r w:rsidRPr="00ED7361">
              <w:rPr>
                <w:lang w:val="en-US"/>
              </w:rPr>
              <w:t>Subsequently, a precipitate was formed and then placed in a furnace.</w:t>
            </w:r>
          </w:p>
        </w:tc>
      </w:tr>
      <w:tr w:rsidR="00F14E58" w14:paraId="25BF0E7D" w14:textId="77777777" w:rsidTr="00F14E58">
        <w:tc>
          <w:tcPr>
            <w:tcW w:w="4508" w:type="dxa"/>
          </w:tcPr>
          <w:p w14:paraId="3C1B7FE1" w14:textId="4435B249" w:rsidR="00F14E58" w:rsidRPr="00ED7361" w:rsidRDefault="00ED7361" w:rsidP="00F14E58">
            <w:pPr>
              <w:pStyle w:val="ListParagraph"/>
              <w:numPr>
                <w:ilvl w:val="0"/>
                <w:numId w:val="1"/>
              </w:numPr>
              <w:rPr>
                <w:lang w:val="en-US"/>
              </w:rPr>
            </w:pPr>
            <w:r w:rsidRPr="00ED7361">
              <w:rPr>
                <w:lang w:val="en-US"/>
              </w:rPr>
              <w:t xml:space="preserve">The final, prepared samples were then made available for characterization using various </w:t>
            </w:r>
            <w:r w:rsidRPr="00ED7361">
              <w:rPr>
                <w:highlight w:val="yellow"/>
                <w:lang w:val="en-US"/>
              </w:rPr>
              <w:t>synthesis</w:t>
            </w:r>
            <w:r w:rsidRPr="00ED7361">
              <w:rPr>
                <w:lang w:val="en-US"/>
              </w:rPr>
              <w:t xml:space="preserve"> techniques.</w:t>
            </w:r>
          </w:p>
        </w:tc>
        <w:tc>
          <w:tcPr>
            <w:tcW w:w="4508" w:type="dxa"/>
          </w:tcPr>
          <w:p w14:paraId="0605C0B8" w14:textId="054CE57F" w:rsidR="00F14E58" w:rsidRPr="00ED7361" w:rsidRDefault="00ED7361">
            <w:pPr>
              <w:rPr>
                <w:lang w:val="en-US"/>
              </w:rPr>
            </w:pPr>
            <w:r w:rsidRPr="00ED7361">
              <w:rPr>
                <w:lang w:val="en-US"/>
              </w:rPr>
              <w:t>The final, prepared samples were then made available for characterization using various techniques.</w:t>
            </w:r>
            <w:r>
              <w:rPr>
                <w:lang w:val="en-US"/>
              </w:rPr>
              <w:t xml:space="preserve"> “</w:t>
            </w:r>
            <w:proofErr w:type="gramStart"/>
            <w:r>
              <w:rPr>
                <w:lang w:val="en-US"/>
              </w:rPr>
              <w:t>synthesis</w:t>
            </w:r>
            <w:proofErr w:type="gramEnd"/>
            <w:r>
              <w:rPr>
                <w:lang w:val="en-US"/>
              </w:rPr>
              <w:t xml:space="preserve"> was removed”</w:t>
            </w:r>
          </w:p>
        </w:tc>
      </w:tr>
      <w:tr w:rsidR="00ED7361" w14:paraId="31BD9E93" w14:textId="77777777" w:rsidTr="00F14E58">
        <w:tc>
          <w:tcPr>
            <w:tcW w:w="4508" w:type="dxa"/>
          </w:tcPr>
          <w:p w14:paraId="1499EE2C" w14:textId="32A6C3D7" w:rsidR="00ED7361" w:rsidRPr="00ED7361" w:rsidRDefault="00ED7361" w:rsidP="00F14E58">
            <w:pPr>
              <w:pStyle w:val="ListParagraph"/>
              <w:numPr>
                <w:ilvl w:val="0"/>
                <w:numId w:val="1"/>
              </w:numPr>
              <w:rPr>
                <w:lang w:val="en-US"/>
              </w:rPr>
            </w:pPr>
            <w:r w:rsidRPr="00ED7361">
              <w:rPr>
                <w:lang w:val="en-US"/>
              </w:rPr>
              <w:t>The calculated lattice parameters for combustion method</w:t>
            </w:r>
          </w:p>
        </w:tc>
        <w:tc>
          <w:tcPr>
            <w:tcW w:w="4508" w:type="dxa"/>
          </w:tcPr>
          <w:p w14:paraId="5B22FAE1" w14:textId="77777777" w:rsidR="00FA1592" w:rsidRPr="00FA1592" w:rsidRDefault="00FA1592" w:rsidP="00FA1592">
            <w:pPr>
              <w:rPr>
                <w:lang w:val="en-US"/>
              </w:rPr>
            </w:pPr>
            <w:r w:rsidRPr="00FA1592">
              <w:rPr>
                <w:lang w:val="en-US"/>
              </w:rPr>
              <w:t>The calculated lattice parameters</w:t>
            </w:r>
          </w:p>
          <w:p w14:paraId="7052C0DC" w14:textId="67FF745C" w:rsidR="00FA1592" w:rsidRPr="00ED7361" w:rsidRDefault="00FA1592" w:rsidP="00FA1592">
            <w:pPr>
              <w:rPr>
                <w:lang w:val="en-US"/>
              </w:rPr>
            </w:pPr>
            <w:r w:rsidRPr="00FA1592">
              <w:rPr>
                <w:lang w:val="en-US"/>
              </w:rPr>
              <w:t>for the sample synthesized using the combustion method are as follows a = b = c = 7.47407 Å,</w:t>
            </w:r>
          </w:p>
        </w:tc>
      </w:tr>
      <w:tr w:rsidR="00ED7361" w14:paraId="4100D2DD" w14:textId="77777777" w:rsidTr="00F14E58">
        <w:tc>
          <w:tcPr>
            <w:tcW w:w="4508" w:type="dxa"/>
          </w:tcPr>
          <w:p w14:paraId="5279418C" w14:textId="28F4DBCD" w:rsidR="00ED7361" w:rsidRPr="00ED7361" w:rsidRDefault="001B4F1C" w:rsidP="00F14E58">
            <w:pPr>
              <w:pStyle w:val="ListParagraph"/>
              <w:numPr>
                <w:ilvl w:val="0"/>
                <w:numId w:val="1"/>
              </w:numPr>
              <w:rPr>
                <w:lang w:val="en-US"/>
              </w:rPr>
            </w:pPr>
            <w:r w:rsidRPr="001B4F1C">
              <w:rPr>
                <w:lang w:val="en-US"/>
              </w:rPr>
              <w:t xml:space="preserve">The Debye-Scherrer equation </w:t>
            </w:r>
            <w:r w:rsidRPr="001B4F1C">
              <w:rPr>
                <w:highlight w:val="yellow"/>
                <w:lang w:val="en-US"/>
              </w:rPr>
              <w:t>used to</w:t>
            </w:r>
            <w:r w:rsidRPr="001B4F1C">
              <w:rPr>
                <w:lang w:val="en-US"/>
              </w:rPr>
              <w:t xml:space="preserve"> calculate the average crystallite particle sizes</w:t>
            </w:r>
          </w:p>
        </w:tc>
        <w:tc>
          <w:tcPr>
            <w:tcW w:w="4508" w:type="dxa"/>
          </w:tcPr>
          <w:p w14:paraId="10D47107" w14:textId="1ADF4672" w:rsidR="00ED7361" w:rsidRPr="00ED7361" w:rsidRDefault="001B4F1C">
            <w:pPr>
              <w:rPr>
                <w:lang w:val="en-US"/>
              </w:rPr>
            </w:pPr>
            <w:r w:rsidRPr="001B4F1C">
              <w:rPr>
                <w:lang w:val="en-US"/>
              </w:rPr>
              <w:t>The Debye-Scherrer equation</w:t>
            </w:r>
            <w:r>
              <w:rPr>
                <w:lang w:val="en-US"/>
              </w:rPr>
              <w:t xml:space="preserve"> </w:t>
            </w:r>
            <w:r w:rsidRPr="001B4F1C">
              <w:rPr>
                <w:highlight w:val="yellow"/>
                <w:lang w:val="en-US"/>
              </w:rPr>
              <w:t>was</w:t>
            </w:r>
            <w:r w:rsidRPr="001B4F1C">
              <w:rPr>
                <w:lang w:val="en-US"/>
              </w:rPr>
              <w:t xml:space="preserve"> used to calculate the average crystallite particle sizes</w:t>
            </w:r>
            <w:r>
              <w:rPr>
                <w:lang w:val="en-US"/>
              </w:rPr>
              <w:t>.</w:t>
            </w:r>
          </w:p>
        </w:tc>
      </w:tr>
      <w:tr w:rsidR="00ED7361" w14:paraId="73BC9483" w14:textId="77777777" w:rsidTr="00F14E58">
        <w:tc>
          <w:tcPr>
            <w:tcW w:w="4508" w:type="dxa"/>
          </w:tcPr>
          <w:p w14:paraId="57A64066" w14:textId="269B6F23" w:rsidR="00ED7361" w:rsidRPr="00ED7361" w:rsidRDefault="001B4F1C" w:rsidP="00F14E58">
            <w:pPr>
              <w:pStyle w:val="ListParagraph"/>
              <w:numPr>
                <w:ilvl w:val="0"/>
                <w:numId w:val="1"/>
              </w:numPr>
              <w:rPr>
                <w:lang w:val="en-US"/>
              </w:rPr>
            </w:pPr>
            <w:r w:rsidRPr="001B4F1C">
              <w:rPr>
                <w:lang w:val="en-US"/>
              </w:rPr>
              <w:t>where D is the average crystallite size, k is the shape correction factor of taken as 0.9</w:t>
            </w:r>
            <w:proofErr w:type="gramStart"/>
            <w:r w:rsidRPr="001B4F1C">
              <w:rPr>
                <w:lang w:val="en-US"/>
              </w:rPr>
              <w:t xml:space="preserve">, </w:t>
            </w:r>
            <w:r w:rsidRPr="001B4F1C">
              <w:rPr>
                <w:rFonts w:ascii="Cambria Math" w:hAnsi="Cambria Math" w:cs="Cambria Math"/>
                <w:lang w:val="en-US"/>
              </w:rPr>
              <w:t>𝜃</w:t>
            </w:r>
            <w:r w:rsidRPr="001B4F1C">
              <w:rPr>
                <w:lang w:val="en-US"/>
              </w:rPr>
              <w:t xml:space="preserve"> is</w:t>
            </w:r>
            <w:proofErr w:type="gramEnd"/>
            <w:r w:rsidRPr="001B4F1C">
              <w:rPr>
                <w:lang w:val="en-US"/>
              </w:rPr>
              <w:t xml:space="preserve"> the diffraction angle, and </w:t>
            </w:r>
            <w:r w:rsidRPr="001B4F1C">
              <w:rPr>
                <w:rFonts w:ascii="Cambria Math" w:hAnsi="Cambria Math" w:cs="Cambria Math"/>
                <w:lang w:val="en-US"/>
              </w:rPr>
              <w:t>𝛽</w:t>
            </w:r>
            <w:r w:rsidRPr="001B4F1C">
              <w:rPr>
                <w:lang w:val="en-US"/>
              </w:rPr>
              <w:t xml:space="preserve"> is the full width at half maximum (FWHM) for the diffraction peak. The wavelength of the X-ray source (0.15406 nm) is denoted by </w:t>
            </w:r>
            <w:r w:rsidRPr="001B4F1C">
              <w:rPr>
                <w:rFonts w:ascii="Cambria Math" w:hAnsi="Cambria Math" w:cs="Cambria Math"/>
                <w:lang w:val="en-US"/>
              </w:rPr>
              <w:t>𝝀</w:t>
            </w:r>
            <w:r w:rsidRPr="001B4F1C">
              <w:rPr>
                <w:lang w:val="en-US"/>
              </w:rPr>
              <w:t>.</w:t>
            </w:r>
          </w:p>
        </w:tc>
        <w:tc>
          <w:tcPr>
            <w:tcW w:w="4508" w:type="dxa"/>
          </w:tcPr>
          <w:p w14:paraId="719035B1" w14:textId="77777777" w:rsidR="00ED7361" w:rsidRDefault="001B4F1C">
            <w:pPr>
              <w:rPr>
                <w:lang w:val="en-US"/>
              </w:rPr>
            </w:pPr>
            <w:r w:rsidRPr="001B4F1C">
              <w:rPr>
                <w:highlight w:val="yellow"/>
                <w:lang w:val="en-US"/>
              </w:rPr>
              <w:t xml:space="preserve">All the </w:t>
            </w:r>
            <w:proofErr w:type="gramStart"/>
            <w:r w:rsidRPr="001B4F1C">
              <w:rPr>
                <w:highlight w:val="yellow"/>
                <w:lang w:val="en-US"/>
              </w:rPr>
              <w:t>variable</w:t>
            </w:r>
            <w:proofErr w:type="gramEnd"/>
            <w:r w:rsidRPr="001B4F1C">
              <w:rPr>
                <w:highlight w:val="yellow"/>
                <w:lang w:val="en-US"/>
              </w:rPr>
              <w:t xml:space="preserve"> were changed to italics</w:t>
            </w:r>
            <w:r>
              <w:rPr>
                <w:lang w:val="en-US"/>
              </w:rPr>
              <w:t>:</w:t>
            </w:r>
          </w:p>
          <w:p w14:paraId="20017A46" w14:textId="0364FA1B" w:rsidR="001B4F1C" w:rsidRPr="00ED7361" w:rsidRDefault="001B4F1C">
            <w:pPr>
              <w:rPr>
                <w:lang w:val="en-US"/>
              </w:rPr>
            </w:pPr>
            <w:r w:rsidRPr="001B4F1C">
              <w:rPr>
                <w:lang w:val="en-US"/>
              </w:rPr>
              <w:t xml:space="preserve">where </w:t>
            </w:r>
            <w:r w:rsidRPr="001B4F1C">
              <w:rPr>
                <w:i/>
                <w:lang w:val="en-US"/>
              </w:rPr>
              <w:t>D</w:t>
            </w:r>
            <w:r w:rsidRPr="001B4F1C">
              <w:rPr>
                <w:lang w:val="en-US"/>
              </w:rPr>
              <w:t xml:space="preserve"> is the average crystallite size, </w:t>
            </w:r>
            <w:r w:rsidRPr="001B4F1C">
              <w:rPr>
                <w:i/>
                <w:lang w:val="en-US"/>
              </w:rPr>
              <w:t>k</w:t>
            </w:r>
            <w:r w:rsidRPr="001B4F1C">
              <w:rPr>
                <w:lang w:val="en-US"/>
              </w:rPr>
              <w:t xml:space="preserve"> is the shape correction factor of taken as 0.9</w:t>
            </w:r>
            <w:proofErr w:type="gramStart"/>
            <w:r w:rsidRPr="001B4F1C">
              <w:rPr>
                <w:lang w:val="en-US"/>
              </w:rPr>
              <w:t xml:space="preserve">, </w:t>
            </w:r>
            <w:r w:rsidRPr="001B4F1C">
              <w:rPr>
                <w:rFonts w:ascii="Cambria Math" w:hAnsi="Cambria Math" w:cs="Cambria Math"/>
                <w:i/>
                <w:lang w:val="en-US"/>
              </w:rPr>
              <w:t>𝜃</w:t>
            </w:r>
            <w:r w:rsidRPr="001B4F1C">
              <w:rPr>
                <w:lang w:val="en-US"/>
              </w:rPr>
              <w:t xml:space="preserve"> is</w:t>
            </w:r>
            <w:proofErr w:type="gramEnd"/>
            <w:r w:rsidRPr="001B4F1C">
              <w:rPr>
                <w:lang w:val="en-US"/>
              </w:rPr>
              <w:t xml:space="preserve"> the diffraction angle, and </w:t>
            </w:r>
            <w:r w:rsidRPr="001B4F1C">
              <w:rPr>
                <w:rFonts w:ascii="Cambria Math" w:hAnsi="Cambria Math" w:cs="Cambria Math"/>
                <w:i/>
                <w:lang w:val="en-US"/>
              </w:rPr>
              <w:t>𝛽</w:t>
            </w:r>
            <w:r w:rsidRPr="001B4F1C">
              <w:rPr>
                <w:lang w:val="en-US"/>
              </w:rPr>
              <w:t xml:space="preserve"> is the full width at half maximum (FWHM) for the diffraction peak. The wavelength of the X-ray source (0.15406 nm) </w:t>
            </w:r>
            <w:proofErr w:type="gramStart"/>
            <w:r w:rsidRPr="001B4F1C">
              <w:rPr>
                <w:lang w:val="en-US"/>
              </w:rPr>
              <w:t>is</w:t>
            </w:r>
            <w:proofErr w:type="gramEnd"/>
            <w:r w:rsidRPr="001B4F1C">
              <w:rPr>
                <w:lang w:val="en-US"/>
              </w:rPr>
              <w:t xml:space="preserve"> denoted by </w:t>
            </w:r>
            <w:r w:rsidRPr="00021A57">
              <w:rPr>
                <w:rFonts w:ascii="Cambria Math" w:hAnsi="Cambria Math" w:cs="Cambria Math"/>
                <w:i/>
                <w:lang w:val="en-US"/>
              </w:rPr>
              <w:t>𝝀</w:t>
            </w:r>
            <w:r w:rsidRPr="001B4F1C">
              <w:rPr>
                <w:lang w:val="en-US"/>
              </w:rPr>
              <w:t xml:space="preserve">. </w:t>
            </w:r>
          </w:p>
        </w:tc>
      </w:tr>
      <w:tr w:rsidR="00ED7361" w14:paraId="2B6989A7" w14:textId="77777777" w:rsidTr="00F14E58">
        <w:tc>
          <w:tcPr>
            <w:tcW w:w="4508" w:type="dxa"/>
          </w:tcPr>
          <w:p w14:paraId="249A5190" w14:textId="0AC47155" w:rsidR="00ED7361" w:rsidRPr="00ED7361" w:rsidRDefault="001B4F1C" w:rsidP="00F14E58">
            <w:pPr>
              <w:pStyle w:val="ListParagraph"/>
              <w:numPr>
                <w:ilvl w:val="0"/>
                <w:numId w:val="1"/>
              </w:numPr>
              <w:rPr>
                <w:lang w:val="en-US"/>
              </w:rPr>
            </w:pPr>
            <w:r w:rsidRPr="001B4F1C">
              <w:t>Why are there no error estimates here?</w:t>
            </w:r>
          </w:p>
        </w:tc>
        <w:tc>
          <w:tcPr>
            <w:tcW w:w="4508" w:type="dxa"/>
          </w:tcPr>
          <w:p w14:paraId="4F37D169" w14:textId="048A9913" w:rsidR="00F310B8" w:rsidRPr="00E426A0" w:rsidRDefault="00E426A0">
            <w:r w:rsidRPr="00E426A0">
              <w:t>The error estimates were not originally provided as the crystallite size was calculated from the measured FWHM and peak position in the Scherrer equation, but the uncertainties related to the uncertainties in the measured quantities were not propagated in the original calculation.</w:t>
            </w:r>
          </w:p>
        </w:tc>
      </w:tr>
      <w:tr w:rsidR="00ED7361" w14:paraId="08CD8C92" w14:textId="77777777" w:rsidTr="00F14E58">
        <w:tc>
          <w:tcPr>
            <w:tcW w:w="4508" w:type="dxa"/>
          </w:tcPr>
          <w:p w14:paraId="0AD2A3B6" w14:textId="4BD1D3BB" w:rsidR="00ED7361" w:rsidRPr="00ED7361" w:rsidRDefault="0090048F" w:rsidP="00F14E58">
            <w:pPr>
              <w:pStyle w:val="ListParagraph"/>
              <w:numPr>
                <w:ilvl w:val="0"/>
                <w:numId w:val="1"/>
              </w:numPr>
              <w:rPr>
                <w:lang w:val="en-US"/>
              </w:rPr>
            </w:pPr>
            <w:r w:rsidRPr="0090048F">
              <w:rPr>
                <w:lang w:val="en-US"/>
              </w:rPr>
              <w:t xml:space="preserve">The large spaces indicated by the blue arrows </w:t>
            </w:r>
            <w:r w:rsidRPr="0090048F">
              <w:rPr>
                <w:highlight w:val="yellow"/>
                <w:lang w:val="en-US"/>
              </w:rPr>
              <w:t xml:space="preserve">are due </w:t>
            </w:r>
            <w:proofErr w:type="gramStart"/>
            <w:r w:rsidRPr="0090048F">
              <w:rPr>
                <w:highlight w:val="yellow"/>
                <w:lang w:val="en-US"/>
              </w:rPr>
              <w:t>bare</w:t>
            </w:r>
            <w:proofErr w:type="gramEnd"/>
            <w:r w:rsidRPr="0090048F">
              <w:rPr>
                <w:highlight w:val="yellow"/>
                <w:lang w:val="en-US"/>
              </w:rPr>
              <w:t xml:space="preserve"> glass slide</w:t>
            </w:r>
            <w:r w:rsidRPr="0090048F">
              <w:rPr>
                <w:lang w:val="en-US"/>
              </w:rPr>
              <w:t xml:space="preserve"> (specimen holder).</w:t>
            </w:r>
          </w:p>
        </w:tc>
        <w:tc>
          <w:tcPr>
            <w:tcW w:w="4508" w:type="dxa"/>
          </w:tcPr>
          <w:p w14:paraId="5143A58C" w14:textId="77777777" w:rsidR="001B4F1C" w:rsidRPr="001B4F1C" w:rsidRDefault="001B4F1C" w:rsidP="001B4F1C">
            <w:pPr>
              <w:rPr>
                <w:lang w:val="en-US"/>
              </w:rPr>
            </w:pPr>
            <w:r w:rsidRPr="001B4F1C">
              <w:rPr>
                <w:lang w:val="en-US"/>
              </w:rPr>
              <w:t>Large particles are surrounded by smaller particles, which are</w:t>
            </w:r>
          </w:p>
          <w:p w14:paraId="4DDF4100" w14:textId="2B32C33A" w:rsidR="00ED7361" w:rsidRPr="00ED7361" w:rsidRDefault="001B4F1C" w:rsidP="001B4F1C">
            <w:pPr>
              <w:rPr>
                <w:lang w:val="en-US"/>
              </w:rPr>
            </w:pPr>
            <w:r w:rsidRPr="001B4F1C">
              <w:rPr>
                <w:lang w:val="en-US"/>
              </w:rPr>
              <w:t>interrupted by large areas of non-covered substrate, as depicted by green arrows.</w:t>
            </w:r>
          </w:p>
        </w:tc>
      </w:tr>
      <w:tr w:rsidR="001B4F1C" w14:paraId="2207CFCF" w14:textId="77777777" w:rsidTr="00F14E58">
        <w:tc>
          <w:tcPr>
            <w:tcW w:w="4508" w:type="dxa"/>
          </w:tcPr>
          <w:p w14:paraId="42519968" w14:textId="0AF55FB5" w:rsidR="001B4F1C" w:rsidRPr="001B4F1C" w:rsidRDefault="0090048F" w:rsidP="00F14E58">
            <w:pPr>
              <w:pStyle w:val="ListParagraph"/>
              <w:numPr>
                <w:ilvl w:val="0"/>
                <w:numId w:val="1"/>
              </w:numPr>
              <w:rPr>
                <w:lang w:val="en-US"/>
              </w:rPr>
            </w:pPr>
            <w:r w:rsidRPr="0090048F">
              <w:t>I don't see any black spectrum here!</w:t>
            </w:r>
          </w:p>
        </w:tc>
        <w:tc>
          <w:tcPr>
            <w:tcW w:w="4508" w:type="dxa"/>
          </w:tcPr>
          <w:p w14:paraId="4F76F7A8" w14:textId="06EE9EE0" w:rsidR="001B4F1C" w:rsidRPr="001B4F1C" w:rsidRDefault="0090048F" w:rsidP="001B4F1C">
            <w:pPr>
              <w:rPr>
                <w:lang w:val="en-US"/>
              </w:rPr>
            </w:pPr>
            <w:r>
              <w:rPr>
                <w:lang w:val="en-US"/>
              </w:rPr>
              <w:t>The sol-gel PL spectra was plotted.</w:t>
            </w:r>
          </w:p>
        </w:tc>
      </w:tr>
    </w:tbl>
    <w:p w14:paraId="59FA7DB7" w14:textId="33A135DA" w:rsidR="00F14E58" w:rsidRDefault="000F4A11">
      <w:pPr>
        <w:rPr>
          <w:b/>
          <w:bCs/>
          <w:lang w:val="en-US"/>
        </w:rPr>
      </w:pPr>
      <w:r>
        <w:rPr>
          <w:b/>
          <w:bCs/>
          <w:lang w:val="en-US"/>
        </w:rPr>
        <w:lastRenderedPageBreak/>
        <w:t>Supervisor comments.</w:t>
      </w:r>
    </w:p>
    <w:tbl>
      <w:tblPr>
        <w:tblStyle w:val="TableGrid"/>
        <w:tblW w:w="0" w:type="auto"/>
        <w:tblLook w:val="04A0" w:firstRow="1" w:lastRow="0" w:firstColumn="1" w:lastColumn="0" w:noHBand="0" w:noVBand="1"/>
      </w:tblPr>
      <w:tblGrid>
        <w:gridCol w:w="4508"/>
        <w:gridCol w:w="4508"/>
      </w:tblGrid>
      <w:tr w:rsidR="000F4A11" w14:paraId="6C5C81E5" w14:textId="77777777" w:rsidTr="000F4A11">
        <w:tc>
          <w:tcPr>
            <w:tcW w:w="4508" w:type="dxa"/>
          </w:tcPr>
          <w:p w14:paraId="07961CF2" w14:textId="3687CF98" w:rsidR="000F4A11" w:rsidRPr="000F4A11" w:rsidRDefault="000F4A11" w:rsidP="000F4A11">
            <w:pPr>
              <w:tabs>
                <w:tab w:val="left" w:pos="1050"/>
              </w:tabs>
              <w:rPr>
                <w:lang w:val="en-US"/>
              </w:rPr>
            </w:pPr>
            <w:r w:rsidRPr="000F4A11">
              <w:rPr>
                <w:lang w:val="en-US"/>
              </w:rPr>
              <w:t xml:space="preserve">Remove: </w:t>
            </w:r>
            <w:r w:rsidRPr="000F4A11">
              <w:rPr>
                <w:spacing w:val="1"/>
                <w:position w:val="2"/>
                <w:sz w:val="20"/>
                <w:szCs w:val="20"/>
              </w:rPr>
              <w:t xml:space="preserve">The </w:t>
            </w:r>
            <w:proofErr w:type="gramStart"/>
            <w:r w:rsidRPr="000F4A11">
              <w:rPr>
                <w:spacing w:val="1"/>
                <w:position w:val="2"/>
                <w:sz w:val="20"/>
                <w:szCs w:val="20"/>
              </w:rPr>
              <w:t>sol</w:t>
            </w:r>
            <w:proofErr w:type="gramEnd"/>
            <w:r w:rsidRPr="000F4A11">
              <w:rPr>
                <w:spacing w:val="1"/>
                <w:position w:val="2"/>
                <w:sz w:val="20"/>
                <w:szCs w:val="20"/>
              </w:rPr>
              <w:t xml:space="preserve">-gel, combustion, and solid-state reaction methods are of interest to prepare </w:t>
            </w:r>
            <w:r w:rsidRPr="000F4A11">
              <w:rPr>
                <w:position w:val="2"/>
                <w:sz w:val="20"/>
                <w:szCs w:val="20"/>
              </w:rPr>
              <w:t>Zn</w:t>
            </w:r>
            <w:r w:rsidRPr="000F4A11">
              <w:rPr>
                <w:sz w:val="20"/>
                <w:szCs w:val="20"/>
              </w:rPr>
              <w:t>4</w:t>
            </w:r>
            <w:r w:rsidRPr="000F4A11">
              <w:rPr>
                <w:position w:val="2"/>
                <w:sz w:val="20"/>
                <w:szCs w:val="20"/>
              </w:rPr>
              <w:t>B</w:t>
            </w:r>
            <w:r w:rsidRPr="000F4A11">
              <w:rPr>
                <w:sz w:val="20"/>
                <w:szCs w:val="20"/>
                <w:vertAlign w:val="subscript"/>
              </w:rPr>
              <w:t>6</w:t>
            </w:r>
            <w:r w:rsidRPr="000F4A11">
              <w:rPr>
                <w:position w:val="2"/>
                <w:sz w:val="20"/>
                <w:szCs w:val="20"/>
              </w:rPr>
              <w:t>O</w:t>
            </w:r>
            <w:r w:rsidRPr="000F4A11">
              <w:rPr>
                <w:sz w:val="20"/>
                <w:szCs w:val="20"/>
                <w:vertAlign w:val="subscript"/>
              </w:rPr>
              <w:t>13</w:t>
            </w:r>
            <w:r w:rsidRPr="000F4A11">
              <w:rPr>
                <w:spacing w:val="1"/>
                <w:sz w:val="20"/>
                <w:szCs w:val="20"/>
              </w:rPr>
              <w:t xml:space="preserve"> </w:t>
            </w:r>
            <w:r w:rsidRPr="000F4A11">
              <w:rPr>
                <w:position w:val="2"/>
                <w:sz w:val="20"/>
                <w:szCs w:val="20"/>
              </w:rPr>
              <w:t>and</w:t>
            </w:r>
            <w:r w:rsidRPr="000F4A11">
              <w:rPr>
                <w:spacing w:val="1"/>
                <w:position w:val="2"/>
                <w:sz w:val="20"/>
                <w:szCs w:val="20"/>
              </w:rPr>
              <w:t xml:space="preserve"> </w:t>
            </w:r>
            <w:r w:rsidRPr="000F4A11">
              <w:rPr>
                <w:position w:val="2"/>
                <w:sz w:val="20"/>
                <w:szCs w:val="20"/>
              </w:rPr>
              <w:t>Zn</w:t>
            </w:r>
            <w:r w:rsidRPr="000F4A11">
              <w:rPr>
                <w:sz w:val="20"/>
                <w:szCs w:val="20"/>
                <w:vertAlign w:val="subscript"/>
              </w:rPr>
              <w:t>4</w:t>
            </w:r>
            <w:r w:rsidRPr="000F4A11">
              <w:rPr>
                <w:position w:val="2"/>
                <w:sz w:val="20"/>
                <w:szCs w:val="20"/>
              </w:rPr>
              <w:t>B</w:t>
            </w:r>
            <w:r w:rsidRPr="000F4A11">
              <w:rPr>
                <w:sz w:val="20"/>
                <w:szCs w:val="20"/>
                <w:vertAlign w:val="subscript"/>
              </w:rPr>
              <w:t>6</w:t>
            </w:r>
            <w:r w:rsidRPr="000F4A11">
              <w:rPr>
                <w:position w:val="2"/>
                <w:sz w:val="20"/>
                <w:szCs w:val="20"/>
              </w:rPr>
              <w:t>O</w:t>
            </w:r>
            <w:r w:rsidRPr="000F4A11">
              <w:rPr>
                <w:sz w:val="20"/>
                <w:szCs w:val="20"/>
                <w:vertAlign w:val="subscript"/>
              </w:rPr>
              <w:t>13</w:t>
            </w:r>
            <w:r w:rsidRPr="000F4A11">
              <w:rPr>
                <w:position w:val="2"/>
                <w:sz w:val="20"/>
                <w:szCs w:val="20"/>
              </w:rPr>
              <w:t>:Eu</w:t>
            </w:r>
            <w:r w:rsidRPr="000F4A11">
              <w:rPr>
                <w:position w:val="2"/>
                <w:sz w:val="20"/>
                <w:szCs w:val="20"/>
                <w:vertAlign w:val="superscript"/>
              </w:rPr>
              <w:t>3+</w:t>
            </w:r>
            <w:r w:rsidRPr="000F4A11">
              <w:rPr>
                <w:spacing w:val="1"/>
                <w:position w:val="2"/>
                <w:sz w:val="20"/>
                <w:szCs w:val="20"/>
              </w:rPr>
              <w:t xml:space="preserve"> </w:t>
            </w:r>
            <w:r w:rsidRPr="000F4A11">
              <w:rPr>
                <w:position w:val="2"/>
                <w:sz w:val="20"/>
                <w:szCs w:val="20"/>
              </w:rPr>
              <w:t>nanophosphor</w:t>
            </w:r>
            <w:r w:rsidRPr="000F4A11">
              <w:rPr>
                <w:spacing w:val="1"/>
                <w:position w:val="2"/>
                <w:sz w:val="20"/>
                <w:szCs w:val="20"/>
              </w:rPr>
              <w:t xml:space="preserve"> </w:t>
            </w:r>
            <w:r w:rsidRPr="000F4A11">
              <w:rPr>
                <w:position w:val="2"/>
                <w:sz w:val="20"/>
                <w:szCs w:val="20"/>
              </w:rPr>
              <w:t>materials.</w:t>
            </w:r>
            <w:r w:rsidRPr="000F4A11">
              <w:t xml:space="preserve"> </w:t>
            </w:r>
          </w:p>
        </w:tc>
        <w:tc>
          <w:tcPr>
            <w:tcW w:w="4508" w:type="dxa"/>
          </w:tcPr>
          <w:p w14:paraId="24E12531" w14:textId="77777777" w:rsidR="000F4A11" w:rsidRDefault="000F4A11">
            <w:pPr>
              <w:rPr>
                <w:b/>
                <w:bCs/>
                <w:lang w:val="en-US"/>
              </w:rPr>
            </w:pPr>
          </w:p>
        </w:tc>
      </w:tr>
      <w:tr w:rsidR="000F4A11" w14:paraId="6EF68010" w14:textId="77777777" w:rsidTr="000F4A11">
        <w:tc>
          <w:tcPr>
            <w:tcW w:w="4508" w:type="dxa"/>
          </w:tcPr>
          <w:p w14:paraId="33F017C4" w14:textId="083C4368" w:rsidR="000F4A11" w:rsidRDefault="000F4A11">
            <w:pPr>
              <w:rPr>
                <w:b/>
                <w:bCs/>
                <w:lang w:val="en-US"/>
              </w:rPr>
            </w:pPr>
            <w:r w:rsidRPr="00271D7B">
              <w:t xml:space="preserve">Figure </w:t>
            </w:r>
            <w:r>
              <w:t xml:space="preserve">3 </w:t>
            </w:r>
            <w:r w:rsidRPr="00271D7B">
              <w:t>(a) and (b) show the photoluminescence spectra for Zn</w:t>
            </w:r>
            <w:r w:rsidRPr="002903B9">
              <w:rPr>
                <w:vertAlign w:val="subscript"/>
              </w:rPr>
              <w:t>4</w:t>
            </w:r>
            <w:r w:rsidRPr="00271D7B">
              <w:t>B</w:t>
            </w:r>
            <w:r w:rsidRPr="002903B9">
              <w:rPr>
                <w:vertAlign w:val="subscript"/>
              </w:rPr>
              <w:t>6</w:t>
            </w:r>
            <w:r w:rsidRPr="00271D7B">
              <w:t>O</w:t>
            </w:r>
            <w:r w:rsidRPr="002903B9">
              <w:rPr>
                <w:vertAlign w:val="subscript"/>
              </w:rPr>
              <w:t>13</w:t>
            </w:r>
            <w:r w:rsidRPr="00271D7B">
              <w:t>:Eu</w:t>
            </w:r>
            <w:r w:rsidRPr="002903B9">
              <w:rPr>
                <w:vertAlign w:val="superscript"/>
              </w:rPr>
              <w:t>3+</w:t>
            </w:r>
            <w:r w:rsidRPr="00271D7B">
              <w:t xml:space="preserve"> samples prepared with sol-gel, combustion, and solid-state methods, measured </w:t>
            </w:r>
            <w:r>
              <w:t>in the wavelength range between 200 and 550 nm</w:t>
            </w:r>
            <w:r w:rsidRPr="00271D7B">
              <w:t>, while monitoring the emission peak at 614 nm wavelength.</w:t>
            </w:r>
          </w:p>
        </w:tc>
        <w:tc>
          <w:tcPr>
            <w:tcW w:w="4508" w:type="dxa"/>
          </w:tcPr>
          <w:p w14:paraId="1CCC917F" w14:textId="4B7BDF4F" w:rsidR="000F4A11" w:rsidRPr="000F4A11" w:rsidRDefault="000F4A11">
            <w:pPr>
              <w:rPr>
                <w:lang w:val="en-US"/>
              </w:rPr>
            </w:pPr>
            <w:r w:rsidRPr="000F4A11">
              <w:t>Figure 3 (a) and (b) display the PL excitation and emission spectra respectively.</w:t>
            </w:r>
          </w:p>
        </w:tc>
      </w:tr>
      <w:tr w:rsidR="000F4A11" w14:paraId="206FDE02" w14:textId="77777777" w:rsidTr="000F4A11">
        <w:tc>
          <w:tcPr>
            <w:tcW w:w="4508" w:type="dxa"/>
          </w:tcPr>
          <w:p w14:paraId="019BD83B" w14:textId="77777777" w:rsidR="000F4A11" w:rsidRDefault="000F4A11">
            <w:pPr>
              <w:rPr>
                <w:b/>
                <w:bCs/>
                <w:lang w:val="en-US"/>
              </w:rPr>
            </w:pPr>
          </w:p>
        </w:tc>
        <w:tc>
          <w:tcPr>
            <w:tcW w:w="4508" w:type="dxa"/>
          </w:tcPr>
          <w:p w14:paraId="52C310FF" w14:textId="77777777" w:rsidR="000F4A11" w:rsidRDefault="000F4A11">
            <w:pPr>
              <w:rPr>
                <w:b/>
                <w:bCs/>
                <w:lang w:val="en-US"/>
              </w:rPr>
            </w:pPr>
          </w:p>
        </w:tc>
      </w:tr>
    </w:tbl>
    <w:p w14:paraId="54E97A5D" w14:textId="77777777" w:rsidR="000F4A11" w:rsidRPr="00F14E58" w:rsidRDefault="000F4A11">
      <w:pPr>
        <w:rPr>
          <w:b/>
          <w:bCs/>
          <w:lang w:val="en-US"/>
        </w:rPr>
      </w:pPr>
    </w:p>
    <w:sectPr w:rsidR="000F4A11" w:rsidRPr="00F14E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D6F53"/>
    <w:multiLevelType w:val="hybridMultilevel"/>
    <w:tmpl w:val="3C2024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98197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E58"/>
    <w:rsid w:val="00021A57"/>
    <w:rsid w:val="000F4A11"/>
    <w:rsid w:val="001B4F1C"/>
    <w:rsid w:val="00390238"/>
    <w:rsid w:val="004929E2"/>
    <w:rsid w:val="007F6C09"/>
    <w:rsid w:val="00813B3F"/>
    <w:rsid w:val="008B2F24"/>
    <w:rsid w:val="0090048F"/>
    <w:rsid w:val="00B71F0C"/>
    <w:rsid w:val="00D3188B"/>
    <w:rsid w:val="00E426A0"/>
    <w:rsid w:val="00ED7361"/>
    <w:rsid w:val="00F14E58"/>
    <w:rsid w:val="00F2277E"/>
    <w:rsid w:val="00F310B8"/>
    <w:rsid w:val="00FA15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2B35"/>
  <w15:chartTrackingRefBased/>
  <w15:docId w15:val="{2F4FDC5C-3D57-4C28-84A1-E44BA3473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E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E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E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E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E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E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E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E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E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E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E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E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E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E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E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E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E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E58"/>
    <w:rPr>
      <w:rFonts w:eastAsiaTheme="majorEastAsia" w:cstheme="majorBidi"/>
      <w:color w:val="272727" w:themeColor="text1" w:themeTint="D8"/>
    </w:rPr>
  </w:style>
  <w:style w:type="paragraph" w:styleId="Title">
    <w:name w:val="Title"/>
    <w:basedOn w:val="Normal"/>
    <w:next w:val="Normal"/>
    <w:link w:val="TitleChar"/>
    <w:uiPriority w:val="10"/>
    <w:qFormat/>
    <w:rsid w:val="00F14E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E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E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E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E58"/>
    <w:pPr>
      <w:spacing w:before="160"/>
      <w:jc w:val="center"/>
    </w:pPr>
    <w:rPr>
      <w:i/>
      <w:iCs/>
      <w:color w:val="404040" w:themeColor="text1" w:themeTint="BF"/>
    </w:rPr>
  </w:style>
  <w:style w:type="character" w:customStyle="1" w:styleId="QuoteChar">
    <w:name w:val="Quote Char"/>
    <w:basedOn w:val="DefaultParagraphFont"/>
    <w:link w:val="Quote"/>
    <w:uiPriority w:val="29"/>
    <w:rsid w:val="00F14E58"/>
    <w:rPr>
      <w:i/>
      <w:iCs/>
      <w:color w:val="404040" w:themeColor="text1" w:themeTint="BF"/>
    </w:rPr>
  </w:style>
  <w:style w:type="paragraph" w:styleId="ListParagraph">
    <w:name w:val="List Paragraph"/>
    <w:basedOn w:val="Normal"/>
    <w:uiPriority w:val="34"/>
    <w:qFormat/>
    <w:rsid w:val="00F14E58"/>
    <w:pPr>
      <w:ind w:left="720"/>
      <w:contextualSpacing/>
    </w:pPr>
  </w:style>
  <w:style w:type="character" w:styleId="IntenseEmphasis">
    <w:name w:val="Intense Emphasis"/>
    <w:basedOn w:val="DefaultParagraphFont"/>
    <w:uiPriority w:val="21"/>
    <w:qFormat/>
    <w:rsid w:val="00F14E58"/>
    <w:rPr>
      <w:i/>
      <w:iCs/>
      <w:color w:val="0F4761" w:themeColor="accent1" w:themeShade="BF"/>
    </w:rPr>
  </w:style>
  <w:style w:type="paragraph" w:styleId="IntenseQuote">
    <w:name w:val="Intense Quote"/>
    <w:basedOn w:val="Normal"/>
    <w:next w:val="Normal"/>
    <w:link w:val="IntenseQuoteChar"/>
    <w:uiPriority w:val="30"/>
    <w:qFormat/>
    <w:rsid w:val="00F14E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E58"/>
    <w:rPr>
      <w:i/>
      <w:iCs/>
      <w:color w:val="0F4761" w:themeColor="accent1" w:themeShade="BF"/>
    </w:rPr>
  </w:style>
  <w:style w:type="character" w:styleId="IntenseReference">
    <w:name w:val="Intense Reference"/>
    <w:basedOn w:val="DefaultParagraphFont"/>
    <w:uiPriority w:val="32"/>
    <w:qFormat/>
    <w:rsid w:val="00F14E58"/>
    <w:rPr>
      <w:b/>
      <w:bCs/>
      <w:smallCaps/>
      <w:color w:val="0F4761" w:themeColor="accent1" w:themeShade="BF"/>
      <w:spacing w:val="5"/>
    </w:rPr>
  </w:style>
  <w:style w:type="table" w:styleId="TableGrid">
    <w:name w:val="Table Grid"/>
    <w:basedOn w:val="TableNormal"/>
    <w:uiPriority w:val="39"/>
    <w:rsid w:val="00F14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2F24"/>
    <w:rPr>
      <w:rFonts w:ascii="Times New Roman" w:hAnsi="Times New Roman" w:cs="Times New Roman"/>
      <w:sz w:val="24"/>
      <w:szCs w:val="24"/>
    </w:rPr>
  </w:style>
  <w:style w:type="character" w:styleId="CommentReference">
    <w:name w:val="annotation reference"/>
    <w:basedOn w:val="DefaultParagraphFont"/>
    <w:semiHidden/>
    <w:unhideWhenUsed/>
    <w:rsid w:val="000F4A11"/>
    <w:rPr>
      <w:sz w:val="16"/>
      <w:szCs w:val="16"/>
    </w:rPr>
  </w:style>
  <w:style w:type="paragraph" w:styleId="CommentText">
    <w:name w:val="annotation text"/>
    <w:basedOn w:val="Normal"/>
    <w:link w:val="CommentTextChar"/>
    <w:unhideWhenUsed/>
    <w:rsid w:val="000F4A11"/>
    <w:pPr>
      <w:tabs>
        <w:tab w:val="center" w:pos="4253"/>
        <w:tab w:val="right" w:pos="8222"/>
      </w:tabs>
      <w:spacing w:after="0" w:line="240" w:lineRule="auto"/>
      <w:ind w:left="57" w:right="57"/>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rsid w:val="000F4A11"/>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ATHENKOSI SIYALO</dc:creator>
  <cp:keywords/>
  <dc:description/>
  <cp:lastModifiedBy>ATHENKOSI SIYALO</cp:lastModifiedBy>
  <cp:revision>4</cp:revision>
  <dcterms:created xsi:type="dcterms:W3CDTF">2026-10-01T14:37:00Z</dcterms:created>
  <dcterms:modified xsi:type="dcterms:W3CDTF">2026-10-02T20:08:00Z</dcterms:modified>
</cp:coreProperties>
</file>